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2735407" w14:textId="77777777" w:rsidR="00FD07C2" w:rsidRPr="003121F1" w:rsidRDefault="00FD07C2" w:rsidP="00FD07C2">
      <w:pPr>
        <w:pStyle w:val="Zkladnodstavec"/>
        <w:spacing w:before="360"/>
        <w:contextualSpacing/>
        <w:jc w:val="center"/>
        <w:rPr>
          <w:rFonts w:ascii="Arial" w:hAnsi="Arial" w:cs="Arial"/>
          <w:color w:val="auto"/>
          <w:sz w:val="32"/>
          <w:szCs w:val="32"/>
        </w:rPr>
      </w:pPr>
      <w:r w:rsidRPr="003121F1">
        <w:rPr>
          <w:rFonts w:ascii="Arial" w:hAnsi="Arial" w:cs="Arial"/>
          <w:caps/>
          <w:color w:val="auto"/>
          <w:sz w:val="32"/>
          <w:szCs w:val="32"/>
        </w:rPr>
        <w:t xml:space="preserve">31. výzva IROP </w:t>
      </w:r>
      <w:r w:rsidRPr="003121F1">
        <w:rPr>
          <w:rFonts w:ascii="Arial" w:hAnsi="Arial" w:cs="Arial"/>
          <w:color w:val="auto"/>
          <w:sz w:val="32"/>
          <w:szCs w:val="32"/>
        </w:rPr>
        <w:t>– PODPORA ROZVOJE A DOSTUPNOSTI ZDRAVOTNÍ NÁSLEDNÉ PÉČE – SC 4.3 (MRR)</w:t>
      </w:r>
    </w:p>
    <w:p w14:paraId="05FF648A" w14:textId="77777777" w:rsidR="00FD07C2" w:rsidRDefault="00FD07C2" w:rsidP="00FD07C2">
      <w:pPr>
        <w:spacing w:after="200"/>
        <w:jc w:val="center"/>
        <w:rPr>
          <w:rFonts w:ascii="Arial" w:hAnsi="Arial" w:cs="Arial"/>
          <w:sz w:val="32"/>
          <w:szCs w:val="32"/>
        </w:rPr>
      </w:pPr>
      <w:r w:rsidRPr="003121F1">
        <w:rPr>
          <w:rFonts w:ascii="Arial" w:hAnsi="Arial" w:cs="Arial"/>
          <w:sz w:val="32"/>
          <w:szCs w:val="32"/>
        </w:rPr>
        <w:t>32. VÝZVA IROP – PODPORA ROZVOJE A DOSTUPNOSTI ZDRAVOTNÍ NÁSLEDNÉ PÉČE – SC 4.3 (PR)</w:t>
      </w:r>
    </w:p>
    <w:p w14:paraId="27C16E27" w14:textId="33340FF6"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A51D0D">
        <w:rPr>
          <w:rFonts w:ascii="Arial" w:hAnsi="Arial" w:cs="Arial"/>
          <w:caps/>
          <w:color w:val="7F7F7F" w:themeColor="text1" w:themeTint="80"/>
          <w:sz w:val="32"/>
          <w:szCs w:val="32"/>
        </w:rPr>
        <w:t>4</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CB4760">
              <w:rPr>
                <w:rFonts w:ascii="Arial" w:hAnsi="Arial" w:cs="Arial"/>
                <w:snapToGrid w:val="0"/>
                <w:sz w:val="22"/>
                <w:szCs w:val="22"/>
                <w:lang w:eastAsia="zh-CN" w:bidi="ar"/>
              </w:rPr>
              <w:t>indikátor</w:t>
            </w:r>
            <w:r w:rsidR="00866C89" w:rsidRPr="00CB4760">
              <w:rPr>
                <w:rFonts w:ascii="Arial" w:hAnsi="Arial" w:cs="Arial"/>
                <w:snapToGrid w:val="0"/>
                <w:sz w:val="22"/>
                <w:szCs w:val="22"/>
                <w:lang w:eastAsia="zh-CN" w:bidi="ar"/>
              </w:rPr>
              <w:t xml:space="preserve"> </w:t>
            </w:r>
            <w:r w:rsidR="009132E6" w:rsidRPr="00CB4760">
              <w:rPr>
                <w:rFonts w:ascii="Arial" w:hAnsi="Arial" w:cs="Arial"/>
                <w:i/>
                <w:iCs/>
                <w:snapToGrid w:val="0"/>
                <w:sz w:val="22"/>
                <w:szCs w:val="22"/>
                <w:lang w:eastAsia="zh-CN" w:bidi="ar"/>
              </w:rPr>
              <w:t>I</w:t>
            </w:r>
            <w:r w:rsidR="00277403" w:rsidRPr="00CB4760">
              <w:rPr>
                <w:rFonts w:ascii="Arial" w:hAnsi="Arial" w:cs="Arial"/>
                <w:i/>
                <w:iCs/>
                <w:snapToGrid w:val="0"/>
                <w:sz w:val="22"/>
                <w:szCs w:val="22"/>
                <w:lang w:eastAsia="zh-CN" w:bidi="ar"/>
              </w:rPr>
              <w:t>.</w:t>
            </w:r>
            <w:r w:rsidRPr="00CB4760">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3EFEEC26"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 xml:space="preserve">II.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6001BE" w:rsidRPr="00BF657C" w14:paraId="620413FC" w14:textId="77777777" w:rsidTr="006001BE">
        <w:trPr>
          <w:trHeight w:val="410"/>
        </w:trPr>
        <w:tc>
          <w:tcPr>
            <w:tcW w:w="9067" w:type="dxa"/>
            <w:gridSpan w:val="2"/>
            <w:shd w:val="clear" w:color="auto" w:fill="D9D9D9" w:themeFill="background1" w:themeFillShade="D9"/>
          </w:tcPr>
          <w:p w14:paraId="5D6E0D60" w14:textId="01AD3100" w:rsidR="006001BE" w:rsidRPr="006001BE" w:rsidRDefault="006001BE" w:rsidP="006001BE">
            <w:pPr>
              <w:pStyle w:val="Odstavecseseznamem"/>
              <w:numPr>
                <w:ilvl w:val="0"/>
                <w:numId w:val="25"/>
              </w:numPr>
              <w:spacing w:before="120" w:after="120" w:line="271" w:lineRule="auto"/>
              <w:jc w:val="both"/>
              <w:rPr>
                <w:rFonts w:ascii="Arial" w:hAnsi="Arial" w:cs="Arial"/>
                <w:b/>
                <w:bCs/>
                <w:sz w:val="22"/>
                <w:szCs w:val="22"/>
              </w:rPr>
            </w:pPr>
            <w:r w:rsidRPr="006001BE">
              <w:rPr>
                <w:rFonts w:ascii="Arial" w:hAnsi="Arial" w:cs="Arial"/>
                <w:b/>
                <w:bCs/>
                <w:sz w:val="22"/>
                <w:szCs w:val="22"/>
              </w:rPr>
              <w:lastRenderedPageBreak/>
              <w:t>Služby obecného hospodářského zájmu</w:t>
            </w:r>
          </w:p>
        </w:tc>
      </w:tr>
      <w:tr w:rsidR="006001BE" w:rsidRPr="00BF657C" w14:paraId="3E3C69A0" w14:textId="77777777" w:rsidTr="00755826">
        <w:trPr>
          <w:trHeight w:val="410"/>
        </w:trPr>
        <w:tc>
          <w:tcPr>
            <w:tcW w:w="4533" w:type="dxa"/>
          </w:tcPr>
          <w:p w14:paraId="3A4C3C10" w14:textId="77777777" w:rsidR="006001BE" w:rsidRPr="006001BE"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267B9218" w14:textId="19A91758" w:rsidR="006001BE" w:rsidRPr="00BF657C"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Pokud bude poskytovatel služby pověřen více pověřovacími akty, je povinen zajistit jejich kontinuální návaznost.</w:t>
            </w:r>
          </w:p>
        </w:tc>
        <w:tc>
          <w:tcPr>
            <w:tcW w:w="4534" w:type="dxa"/>
          </w:tcPr>
          <w:p w14:paraId="6DA06B2C" w14:textId="6F740B1B" w:rsidR="006001BE" w:rsidRPr="00BF657C" w:rsidRDefault="006001BE" w:rsidP="0042247B">
            <w:pPr>
              <w:spacing w:before="120" w:after="120" w:line="271" w:lineRule="auto"/>
              <w:jc w:val="both"/>
              <w:rPr>
                <w:rFonts w:ascii="Arial" w:hAnsi="Arial" w:cs="Arial"/>
                <w:sz w:val="22"/>
                <w:szCs w:val="22"/>
              </w:rPr>
            </w:pPr>
            <w:r w:rsidRPr="006001BE">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lastRenderedPageBreak/>
        <w:t>Veřejná podpora</w:t>
      </w:r>
    </w:p>
    <w:p w14:paraId="46B8B409" w14:textId="77777777" w:rsidR="006001BE" w:rsidRPr="006001BE" w:rsidRDefault="006001BE" w:rsidP="006001BE">
      <w:pPr>
        <w:numPr>
          <w:ilvl w:val="0"/>
          <w:numId w:val="37"/>
        </w:numPr>
        <w:spacing w:after="240"/>
        <w:jc w:val="both"/>
        <w:rPr>
          <w:rFonts w:ascii="Arial" w:hAnsi="Arial" w:cs="Arial"/>
          <w:snapToGrid w:val="0"/>
          <w:sz w:val="22"/>
          <w:szCs w:val="22"/>
        </w:rPr>
      </w:pPr>
      <w:r w:rsidRPr="006001BE">
        <w:rPr>
          <w:rFonts w:ascii="Arial" w:hAnsi="Arial" w:cs="Arial"/>
          <w:snapToGrid w:val="0"/>
          <w:sz w:val="22"/>
          <w:szCs w:val="22"/>
        </w:rPr>
        <w:t>Dotace je udělena v souladu s Rozhodnutím Komise 2012/21/EU</w:t>
      </w:r>
      <w:r w:rsidRPr="006001BE">
        <w:rPr>
          <w:rFonts w:ascii="Arial" w:hAnsi="Arial" w:cs="Arial"/>
          <w:snapToGrid w:val="0"/>
          <w:sz w:val="22"/>
          <w:szCs w:val="22"/>
        </w:rPr>
        <w:footnoteReference w:id="22"/>
      </w:r>
      <w:r w:rsidRPr="006001BE">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36DFA33F" w14:textId="77777777" w:rsidR="006001BE"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30AA1D6E" w14:textId="77777777" w:rsid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728D4557" w:rsidR="009132E6"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08F7D000" w14:textId="77777777" w:rsidR="006001BE" w:rsidRDefault="006001BE" w:rsidP="006001BE">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22274621">
    <w:abstractNumId w:val="20"/>
  </w:num>
  <w:num w:numId="2" w16cid:durableId="968776374">
    <w:abstractNumId w:val="30"/>
  </w:num>
  <w:num w:numId="3" w16cid:durableId="847057675">
    <w:abstractNumId w:val="3"/>
  </w:num>
  <w:num w:numId="4" w16cid:durableId="2127312304">
    <w:abstractNumId w:val="8"/>
  </w:num>
  <w:num w:numId="5" w16cid:durableId="564141584">
    <w:abstractNumId w:val="13"/>
  </w:num>
  <w:num w:numId="6" w16cid:durableId="1640112531">
    <w:abstractNumId w:val="19"/>
  </w:num>
  <w:num w:numId="7" w16cid:durableId="275404760">
    <w:abstractNumId w:val="7"/>
  </w:num>
  <w:num w:numId="8" w16cid:durableId="463424456">
    <w:abstractNumId w:val="26"/>
  </w:num>
  <w:num w:numId="9" w16cid:durableId="1163859802">
    <w:abstractNumId w:val="33"/>
  </w:num>
  <w:num w:numId="10" w16cid:durableId="1275361596">
    <w:abstractNumId w:val="29"/>
  </w:num>
  <w:num w:numId="11" w16cid:durableId="1766076310">
    <w:abstractNumId w:val="9"/>
  </w:num>
  <w:num w:numId="12" w16cid:durableId="1346786377">
    <w:abstractNumId w:val="11"/>
  </w:num>
  <w:num w:numId="13" w16cid:durableId="1060708462">
    <w:abstractNumId w:val="36"/>
  </w:num>
  <w:num w:numId="14" w16cid:durableId="2043481819">
    <w:abstractNumId w:val="31"/>
  </w:num>
  <w:num w:numId="15" w16cid:durableId="503282255">
    <w:abstractNumId w:val="14"/>
  </w:num>
  <w:num w:numId="16" w16cid:durableId="335810831">
    <w:abstractNumId w:val="21"/>
  </w:num>
  <w:num w:numId="17" w16cid:durableId="49967069">
    <w:abstractNumId w:val="5"/>
  </w:num>
  <w:num w:numId="18" w16cid:durableId="825895380">
    <w:abstractNumId w:val="16"/>
  </w:num>
  <w:num w:numId="19" w16cid:durableId="1528174353">
    <w:abstractNumId w:val="6"/>
  </w:num>
  <w:num w:numId="20" w16cid:durableId="347176073">
    <w:abstractNumId w:val="17"/>
  </w:num>
  <w:num w:numId="21" w16cid:durableId="348260536">
    <w:abstractNumId w:val="18"/>
  </w:num>
  <w:num w:numId="22" w16cid:durableId="785386666">
    <w:abstractNumId w:val="15"/>
  </w:num>
  <w:num w:numId="23" w16cid:durableId="2036035579">
    <w:abstractNumId w:val="25"/>
  </w:num>
  <w:num w:numId="24" w16cid:durableId="569772059">
    <w:abstractNumId w:val="4"/>
  </w:num>
  <w:num w:numId="25" w16cid:durableId="584194795">
    <w:abstractNumId w:val="1"/>
  </w:num>
  <w:num w:numId="26" w16cid:durableId="2012371581">
    <w:abstractNumId w:val="28"/>
  </w:num>
  <w:num w:numId="27" w16cid:durableId="461580515">
    <w:abstractNumId w:val="23"/>
  </w:num>
  <w:num w:numId="28" w16cid:durableId="929700586">
    <w:abstractNumId w:val="10"/>
  </w:num>
  <w:num w:numId="29" w16cid:durableId="531957819">
    <w:abstractNumId w:val="27"/>
  </w:num>
  <w:num w:numId="30" w16cid:durableId="318996079">
    <w:abstractNumId w:val="34"/>
  </w:num>
  <w:num w:numId="31" w16cid:durableId="1487744854">
    <w:abstractNumId w:val="24"/>
  </w:num>
  <w:num w:numId="32" w16cid:durableId="2325355">
    <w:abstractNumId w:val="0"/>
  </w:num>
  <w:num w:numId="33" w16cid:durableId="1392389584">
    <w:abstractNumId w:val="12"/>
  </w:num>
  <w:num w:numId="34" w16cid:durableId="1937059211">
    <w:abstractNumId w:val="32"/>
  </w:num>
  <w:num w:numId="35" w16cid:durableId="931012640">
    <w:abstractNumId w:val="22"/>
  </w:num>
  <w:num w:numId="36" w16cid:durableId="1467819173">
    <w:abstractNumId w:val="2"/>
  </w:num>
  <w:num w:numId="37" w16cid:durableId="1738939071">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264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1BE"/>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1D0D"/>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364"/>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60"/>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02F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6E0B"/>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001B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s:customData xmlns="http://www.wps.cn/officeDocument/2013/wpsCustomData" xmlns:s="http://www.wps.cn/officeDocument/2013/wpsCustomData">
  <customSectProps>
    <customSectPr/>
  </customSectProps>
</s:customDat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2.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6.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7.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8.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5.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3.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6.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7.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8.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9.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4194</Words>
  <Characters>24336</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7</cp:revision>
  <cp:lastPrinted>2022-07-27T10:25:00Z</cp:lastPrinted>
  <dcterms:created xsi:type="dcterms:W3CDTF">2022-09-20T08:47:00Z</dcterms:created>
  <dcterms:modified xsi:type="dcterms:W3CDTF">2023-04-24T09:07:00Z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